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0C7" w:rsidRDefault="005C50C7" w:rsidP="005C50C7">
      <w:pPr>
        <w:rPr>
          <w:rFonts w:ascii="Arial Narrow" w:hAnsi="Arial Narrow"/>
          <w:b/>
          <w:color w:val="000090"/>
        </w:rPr>
      </w:pPr>
      <w:r>
        <w:rPr>
          <w:rFonts w:ascii="Arial Narrow" w:hAnsi="Arial Narrow"/>
          <w:b/>
          <w:color w:val="000090"/>
        </w:rPr>
        <w:t>Writing Lesson Plan – Paragraph Writing</w:t>
      </w:r>
      <w:r w:rsidR="00DF261B">
        <w:rPr>
          <w:rFonts w:ascii="Arial Narrow" w:hAnsi="Arial Narrow"/>
          <w:b/>
          <w:color w:val="000090"/>
        </w:rPr>
        <w:t xml:space="preserve"> Unit (Lesson 2 of 4)</w:t>
      </w:r>
    </w:p>
    <w:p w:rsidR="005C50C7" w:rsidRDefault="005C50C7" w:rsidP="005C50C7">
      <w:pPr>
        <w:rPr>
          <w:rFonts w:ascii="Arial Narrow" w:hAnsi="Arial Narrow"/>
          <w:b/>
          <w:color w:val="000090"/>
        </w:rPr>
      </w:pPr>
    </w:p>
    <w:p w:rsidR="005C50C7" w:rsidRPr="00E8409B" w:rsidRDefault="005C50C7" w:rsidP="005C50C7">
      <w:pPr>
        <w:rPr>
          <w:rFonts w:ascii="Arial" w:hAnsi="Arial" w:cs="Arial"/>
          <w:sz w:val="20"/>
          <w:szCs w:val="20"/>
        </w:rPr>
      </w:pPr>
      <w:r w:rsidRPr="00A508BC">
        <w:rPr>
          <w:rFonts w:ascii="Arial Narrow" w:hAnsi="Arial Narrow"/>
          <w:b/>
          <w:color w:val="000090"/>
        </w:rPr>
        <w:t xml:space="preserve">Materials:  </w:t>
      </w:r>
      <w:r w:rsidR="00E8409B">
        <w:rPr>
          <w:rFonts w:ascii="Arial Narrow" w:hAnsi="Arial Narrow"/>
          <w:color w:val="000090"/>
        </w:rPr>
        <w:t xml:space="preserve">Spider Map; Handouts 20 from </w:t>
      </w:r>
      <w:r w:rsidR="00E8409B">
        <w:rPr>
          <w:rFonts w:ascii="Arial Narrow" w:hAnsi="Arial Narrow"/>
          <w:i/>
          <w:color w:val="000090"/>
        </w:rPr>
        <w:t>Writing I</w:t>
      </w:r>
      <w:r w:rsidR="00E8409B">
        <w:rPr>
          <w:rFonts w:ascii="Arial Narrow" w:hAnsi="Arial Narrow"/>
          <w:color w:val="000090"/>
        </w:rPr>
        <w:t xml:space="preserve">; Notes; </w:t>
      </w:r>
      <w:r w:rsidR="00DF261B">
        <w:rPr>
          <w:rFonts w:ascii="Arial Narrow" w:hAnsi="Arial Narrow"/>
          <w:color w:val="000090"/>
        </w:rPr>
        <w:t>paper</w:t>
      </w:r>
    </w:p>
    <w:p w:rsidR="005C50C7" w:rsidRPr="00DE65F0" w:rsidRDefault="005C50C7" w:rsidP="000C423D">
      <w:pPr>
        <w:pStyle w:val="Default"/>
        <w:rPr>
          <w:color w:val="333399"/>
        </w:rPr>
      </w:pPr>
      <w:r w:rsidRPr="00A508BC">
        <w:rPr>
          <w:rFonts w:ascii="Arial Narrow" w:hAnsi="Arial Narrow"/>
          <w:b/>
          <w:color w:val="000090"/>
        </w:rPr>
        <w:t xml:space="preserve">SOLs: </w:t>
      </w:r>
      <w:r w:rsidR="00DE65F0">
        <w:rPr>
          <w:rFonts w:ascii="Arial Narrow" w:hAnsi="Arial Narrow"/>
          <w:color w:val="000090"/>
        </w:rPr>
        <w:t xml:space="preserve">8.7b </w:t>
      </w:r>
      <w:r w:rsidR="00DE65F0" w:rsidRPr="00DE65F0">
        <w:rPr>
          <w:rFonts w:ascii="Arial Narrow" w:hAnsi="Arial Narrow"/>
          <w:color w:val="333399"/>
        </w:rPr>
        <w:t xml:space="preserve">- </w:t>
      </w:r>
      <w:r w:rsidR="00DE65F0" w:rsidRPr="00DE65F0">
        <w:rPr>
          <w:color w:val="333399"/>
          <w:sz w:val="22"/>
          <w:szCs w:val="22"/>
        </w:rPr>
        <w:t xml:space="preserve">Use prewriting strategies to generate and organize ideas; </w:t>
      </w:r>
      <w:r w:rsidR="000C423D" w:rsidRPr="00DE65F0">
        <w:rPr>
          <w:rFonts w:ascii="Arial Narrow" w:hAnsi="Arial Narrow"/>
          <w:color w:val="333399"/>
        </w:rPr>
        <w:t>8.7d</w:t>
      </w:r>
      <w:r w:rsidR="00DE65F0" w:rsidRPr="00DE65F0">
        <w:rPr>
          <w:rFonts w:ascii="Arial Narrow" w:hAnsi="Arial Narrow"/>
          <w:color w:val="333399"/>
        </w:rPr>
        <w:t xml:space="preserve"> -</w:t>
      </w:r>
      <w:r w:rsidR="000C423D" w:rsidRPr="00DE65F0">
        <w:rPr>
          <w:color w:val="333399"/>
          <w:sz w:val="22"/>
          <w:szCs w:val="22"/>
        </w:rPr>
        <w:t xml:space="preserve"> Organize details to elaborate the central idea and provide unity. </w:t>
      </w:r>
    </w:p>
    <w:p w:rsidR="00DF261B" w:rsidRPr="00A508BC" w:rsidRDefault="005C50C7" w:rsidP="005C50C7">
      <w:pPr>
        <w:rPr>
          <w:rFonts w:ascii="Arial Narrow" w:hAnsi="Arial Narrow"/>
          <w:color w:val="000090"/>
        </w:rPr>
      </w:pPr>
      <w:r w:rsidRPr="00A508BC">
        <w:rPr>
          <w:rFonts w:ascii="Arial Narrow" w:hAnsi="Arial Narrow"/>
          <w:b/>
          <w:color w:val="000090"/>
        </w:rPr>
        <w:t>Lesson Objecti</w:t>
      </w:r>
      <w:r w:rsidR="00E8409B">
        <w:rPr>
          <w:rFonts w:ascii="Arial Narrow" w:hAnsi="Arial Narrow"/>
          <w:b/>
          <w:color w:val="000090"/>
        </w:rPr>
        <w:t xml:space="preserve">ve(s): Students will learn about </w:t>
      </w:r>
      <w:r w:rsidR="00E8409B">
        <w:rPr>
          <w:rFonts w:ascii="Arial Narrow" w:hAnsi="Arial Narrow"/>
          <w:color w:val="000090"/>
        </w:rPr>
        <w:t>good paragraph structure</w:t>
      </w:r>
      <w:r w:rsidR="00E8409B">
        <w:rPr>
          <w:rFonts w:ascii="Arial Narrow" w:hAnsi="Arial Narrow"/>
          <w:b/>
          <w:color w:val="000090"/>
        </w:rPr>
        <w:t xml:space="preserve"> </w:t>
      </w:r>
      <w:r w:rsidRPr="00E8409B">
        <w:rPr>
          <w:rFonts w:ascii="Arial Narrow" w:hAnsi="Arial Narrow"/>
          <w:b/>
          <w:color w:val="000090"/>
        </w:rPr>
        <w:t xml:space="preserve">in </w:t>
      </w:r>
      <w:r w:rsidRPr="00A508BC">
        <w:rPr>
          <w:rFonts w:ascii="Arial Narrow" w:hAnsi="Arial Narrow"/>
          <w:b/>
          <w:color w:val="000090"/>
        </w:rPr>
        <w:t>order to</w:t>
      </w:r>
      <w:r w:rsidRPr="00A508BC">
        <w:rPr>
          <w:rFonts w:ascii="Arial Narrow" w:hAnsi="Arial Narrow"/>
          <w:color w:val="000090"/>
        </w:rPr>
        <w:t xml:space="preserve"> </w:t>
      </w:r>
      <w:r w:rsidR="00E8409B">
        <w:rPr>
          <w:rFonts w:ascii="Arial Narrow" w:hAnsi="Arial Narrow"/>
          <w:color w:val="000090"/>
        </w:rPr>
        <w:t>write</w:t>
      </w:r>
      <w:r>
        <w:rPr>
          <w:rFonts w:ascii="Arial Narrow" w:hAnsi="Arial Narrow"/>
          <w:color w:val="000090"/>
        </w:rPr>
        <w:t xml:space="preserve"> </w:t>
      </w:r>
      <w:r w:rsidR="00E8409B">
        <w:rPr>
          <w:rFonts w:ascii="Arial Narrow" w:hAnsi="Arial Narrow"/>
          <w:color w:val="000090"/>
        </w:rPr>
        <w:t>a unified paragraph with a topic sentence, supporting details, and a closing sentence</w:t>
      </w:r>
      <w:r w:rsidR="00E8409B" w:rsidRPr="00A508BC">
        <w:rPr>
          <w:rFonts w:ascii="Arial Narrow" w:hAnsi="Arial Narrow"/>
          <w:b/>
          <w:color w:val="000090"/>
        </w:rPr>
        <w:t xml:space="preserve"> </w:t>
      </w:r>
      <w:r w:rsidRPr="00A508BC">
        <w:rPr>
          <w:rFonts w:ascii="Arial Narrow" w:hAnsi="Arial Narrow"/>
          <w:b/>
          <w:color w:val="000090"/>
        </w:rPr>
        <w:t xml:space="preserve">by using </w:t>
      </w:r>
      <w:r w:rsidR="00E8409B">
        <w:rPr>
          <w:rFonts w:ascii="Arial Narrow" w:hAnsi="Arial Narrow"/>
          <w:color w:val="000090"/>
        </w:rPr>
        <w:t>spider mapping and rubrics.</w:t>
      </w:r>
      <w:r w:rsidRPr="00A508BC">
        <w:rPr>
          <w:rFonts w:ascii="Arial Narrow" w:hAnsi="Arial Narrow"/>
          <w:color w:val="000090"/>
        </w:rPr>
        <w:t xml:space="preserve">  </w:t>
      </w:r>
      <w:r w:rsidRPr="00A508BC">
        <w:rPr>
          <w:rFonts w:ascii="Arial Narrow" w:hAnsi="Arial Narrow"/>
          <w:b/>
          <w:color w:val="000090"/>
        </w:rPr>
        <w:t>I’ll</w:t>
      </w:r>
      <w:r w:rsidRPr="00A508BC">
        <w:rPr>
          <w:rFonts w:ascii="Arial Narrow" w:hAnsi="Arial Narrow"/>
          <w:color w:val="000090"/>
        </w:rPr>
        <w:t xml:space="preserve"> </w:t>
      </w:r>
      <w:r w:rsidRPr="00A508BC">
        <w:rPr>
          <w:rFonts w:ascii="Arial Narrow" w:hAnsi="Arial Narrow"/>
          <w:b/>
          <w:color w:val="000090"/>
        </w:rPr>
        <w:t>know they’ve learned it when</w:t>
      </w:r>
      <w:r w:rsidRPr="00A508BC">
        <w:rPr>
          <w:rFonts w:ascii="Arial Narrow" w:hAnsi="Arial Narrow"/>
          <w:color w:val="000090"/>
        </w:rPr>
        <w:t xml:space="preserve"> </w:t>
      </w:r>
      <w:r w:rsidR="00DE65F0">
        <w:rPr>
          <w:rFonts w:ascii="Arial Narrow" w:hAnsi="Arial Narrow"/>
          <w:color w:val="000090"/>
        </w:rPr>
        <w:t>students can write an organized, well-thought paragraph.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8"/>
        <w:gridCol w:w="6588"/>
      </w:tblGrid>
      <w:tr w:rsidR="005C50C7" w:rsidRPr="00B6478B" w:rsidTr="00A22D5D">
        <w:tc>
          <w:tcPr>
            <w:tcW w:w="3708" w:type="dxa"/>
          </w:tcPr>
          <w:p w:rsidR="005C50C7" w:rsidRPr="00B6478B" w:rsidRDefault="005C50C7" w:rsidP="00A22D5D">
            <w:pPr>
              <w:jc w:val="center"/>
              <w:rPr>
                <w:rFonts w:ascii="Arial Narrow" w:hAnsi="Arial Narrow"/>
                <w:b/>
                <w:color w:val="333399"/>
              </w:rPr>
            </w:pPr>
            <w:r w:rsidRPr="00B6478B">
              <w:rPr>
                <w:rFonts w:ascii="Arial Narrow" w:hAnsi="Arial Narrow"/>
                <w:b/>
                <w:color w:val="333399"/>
              </w:rPr>
              <w:t>Component</w:t>
            </w:r>
          </w:p>
        </w:tc>
        <w:tc>
          <w:tcPr>
            <w:tcW w:w="6588" w:type="dxa"/>
          </w:tcPr>
          <w:p w:rsidR="005C50C7" w:rsidRPr="00B6478B" w:rsidRDefault="005C50C7" w:rsidP="00A22D5D">
            <w:pPr>
              <w:jc w:val="center"/>
              <w:rPr>
                <w:rFonts w:ascii="Arial Narrow" w:hAnsi="Arial Narrow"/>
                <w:b/>
                <w:color w:val="333399"/>
              </w:rPr>
            </w:pPr>
            <w:r w:rsidRPr="00B6478B">
              <w:rPr>
                <w:rFonts w:ascii="Arial Narrow" w:hAnsi="Arial Narrow"/>
                <w:b/>
                <w:color w:val="333399"/>
              </w:rPr>
              <w:t>Description</w:t>
            </w:r>
          </w:p>
        </w:tc>
      </w:tr>
      <w:tr w:rsidR="005C50C7" w:rsidRPr="00B6478B" w:rsidTr="00A22D5D">
        <w:tc>
          <w:tcPr>
            <w:tcW w:w="3708" w:type="dxa"/>
          </w:tcPr>
          <w:p w:rsidR="005C50C7" w:rsidRPr="00B6478B" w:rsidRDefault="005C50C7" w:rsidP="00A22D5D">
            <w:pPr>
              <w:rPr>
                <w:rFonts w:ascii="Arial Narrow" w:hAnsi="Arial Narrow"/>
                <w:b/>
                <w:color w:val="333399"/>
              </w:rPr>
            </w:pPr>
            <w:proofErr w:type="spellStart"/>
            <w:r w:rsidRPr="00B6478B">
              <w:rPr>
                <w:rFonts w:ascii="Arial Narrow" w:hAnsi="Arial Narrow"/>
                <w:b/>
                <w:color w:val="333399"/>
              </w:rPr>
              <w:t>Bellwork</w:t>
            </w:r>
            <w:proofErr w:type="spellEnd"/>
            <w:r w:rsidRPr="00B6478B">
              <w:rPr>
                <w:rFonts w:ascii="Arial Narrow" w:hAnsi="Arial Narrow"/>
                <w:b/>
                <w:color w:val="333399"/>
              </w:rPr>
              <w:t>/Review</w:t>
            </w:r>
          </w:p>
        </w:tc>
        <w:tc>
          <w:tcPr>
            <w:tcW w:w="6588" w:type="dxa"/>
          </w:tcPr>
          <w:p w:rsidR="005C50C7" w:rsidRPr="00B6478B" w:rsidRDefault="00DE65F0" w:rsidP="00A22D5D">
            <w:pPr>
              <w:rPr>
                <w:rFonts w:ascii="Arial Narrow" w:hAnsi="Arial Narrow"/>
                <w:color w:val="333399"/>
              </w:rPr>
            </w:pPr>
            <w:r>
              <w:rPr>
                <w:rFonts w:ascii="Arial Narrow" w:hAnsi="Arial Narrow"/>
                <w:color w:val="333399"/>
              </w:rPr>
              <w:t>Entrance slip – What are some characteristics of a good paragraph?</w:t>
            </w:r>
          </w:p>
        </w:tc>
      </w:tr>
      <w:tr w:rsidR="005C50C7" w:rsidRPr="00B6478B" w:rsidTr="00A22D5D">
        <w:tc>
          <w:tcPr>
            <w:tcW w:w="3708" w:type="dxa"/>
          </w:tcPr>
          <w:p w:rsidR="005C50C7" w:rsidRPr="00B6478B" w:rsidRDefault="005C50C7" w:rsidP="00A22D5D">
            <w:pPr>
              <w:rPr>
                <w:rFonts w:ascii="Arial Narrow" w:hAnsi="Arial Narrow"/>
                <w:b/>
                <w:color w:val="333399"/>
              </w:rPr>
            </w:pPr>
            <w:r w:rsidRPr="00B6478B">
              <w:rPr>
                <w:rFonts w:ascii="Arial Narrow" w:hAnsi="Arial Narrow"/>
                <w:b/>
                <w:color w:val="333399"/>
              </w:rPr>
              <w:t>Hook/Introduction/Development</w:t>
            </w:r>
          </w:p>
          <w:p w:rsidR="005C50C7" w:rsidRPr="00B6478B" w:rsidRDefault="005C50C7" w:rsidP="00A22D5D">
            <w:pPr>
              <w:rPr>
                <w:rFonts w:ascii="Arial Narrow" w:hAnsi="Arial Narrow"/>
                <w:b/>
                <w:color w:val="333399"/>
              </w:rPr>
            </w:pPr>
            <w:r w:rsidRPr="00B6478B">
              <w:rPr>
                <w:rFonts w:ascii="Arial Narrow" w:hAnsi="Arial Narrow"/>
                <w:b/>
                <w:color w:val="333399"/>
              </w:rPr>
              <w:t>(modeling, explanation, demonstration)</w:t>
            </w:r>
          </w:p>
        </w:tc>
        <w:tc>
          <w:tcPr>
            <w:tcW w:w="6588" w:type="dxa"/>
          </w:tcPr>
          <w:p w:rsidR="00D65DD7" w:rsidRPr="00DF261B" w:rsidRDefault="00D65DD7" w:rsidP="00A22D5D">
            <w:pPr>
              <w:widowControl w:val="0"/>
              <w:autoSpaceDE w:val="0"/>
              <w:autoSpaceDN w:val="0"/>
              <w:adjustRightInd w:val="0"/>
              <w:rPr>
                <w:rFonts w:ascii="Arial Narrow" w:hAnsi="Arial Narrow" w:cs="ArialMT"/>
                <w:color w:val="333399"/>
              </w:rPr>
            </w:pPr>
            <w:r w:rsidRPr="00DF261B">
              <w:rPr>
                <w:rFonts w:ascii="Arial Narrow" w:hAnsi="Arial Narrow" w:cs="ArialMT"/>
                <w:color w:val="333399"/>
              </w:rPr>
              <w:t xml:space="preserve">The teacher and students will discuss the entrance slip. </w:t>
            </w:r>
          </w:p>
          <w:p w:rsidR="00D65DD7" w:rsidRPr="00DF261B" w:rsidRDefault="00D65DD7" w:rsidP="00A22D5D">
            <w:pPr>
              <w:widowControl w:val="0"/>
              <w:autoSpaceDE w:val="0"/>
              <w:autoSpaceDN w:val="0"/>
              <w:adjustRightInd w:val="0"/>
              <w:rPr>
                <w:rFonts w:ascii="Arial Narrow" w:hAnsi="Arial Narrow" w:cs="ArialMT"/>
                <w:color w:val="333399"/>
              </w:rPr>
            </w:pPr>
          </w:p>
          <w:p w:rsidR="005C50C7" w:rsidRPr="00DF261B" w:rsidRDefault="00E8409B" w:rsidP="00A22D5D">
            <w:pPr>
              <w:widowControl w:val="0"/>
              <w:autoSpaceDE w:val="0"/>
              <w:autoSpaceDN w:val="0"/>
              <w:adjustRightInd w:val="0"/>
              <w:rPr>
                <w:rFonts w:ascii="Arial Narrow" w:hAnsi="Arial Narrow" w:cs="ArialMT"/>
                <w:color w:val="333399"/>
              </w:rPr>
            </w:pPr>
            <w:r w:rsidRPr="00DF261B">
              <w:rPr>
                <w:rFonts w:ascii="Arial Narrow" w:hAnsi="Arial Narrow" w:cs="ArialMT"/>
                <w:color w:val="333399"/>
              </w:rPr>
              <w:t>The teacher will model how to draw a spider map by writing a topic in the middle of the board and circling it. The teacher will do a think aloud for the qualities of the topic which will be written on the four spokes extending from the center circle. After filling in the qualities, the teacher will then model through a think aloud</w:t>
            </w:r>
            <w:r w:rsidR="00D65DD7" w:rsidRPr="00DF261B">
              <w:rPr>
                <w:rFonts w:ascii="Arial Narrow" w:hAnsi="Arial Narrow" w:cs="ArialMT"/>
                <w:color w:val="333399"/>
              </w:rPr>
              <w:t xml:space="preserve"> the details which explain or demonstrate each quality. These will be placed on each of the spokes.</w:t>
            </w:r>
          </w:p>
          <w:p w:rsidR="00D65DD7" w:rsidRPr="00DF261B" w:rsidRDefault="00D65DD7" w:rsidP="00A22D5D">
            <w:pPr>
              <w:widowControl w:val="0"/>
              <w:autoSpaceDE w:val="0"/>
              <w:autoSpaceDN w:val="0"/>
              <w:adjustRightInd w:val="0"/>
              <w:rPr>
                <w:rFonts w:ascii="Arial Narrow" w:hAnsi="Arial Narrow" w:cs="ArialMT"/>
                <w:color w:val="333399"/>
              </w:rPr>
            </w:pPr>
          </w:p>
          <w:p w:rsidR="00D65DD7" w:rsidRPr="00DF261B" w:rsidRDefault="00D65DD7" w:rsidP="00A22D5D">
            <w:pPr>
              <w:widowControl w:val="0"/>
              <w:autoSpaceDE w:val="0"/>
              <w:autoSpaceDN w:val="0"/>
              <w:adjustRightInd w:val="0"/>
              <w:rPr>
                <w:rFonts w:ascii="Arial Narrow" w:hAnsi="Arial Narrow" w:cs="ArialMT"/>
                <w:color w:val="333399"/>
              </w:rPr>
            </w:pPr>
            <w:r w:rsidRPr="00DF261B">
              <w:rPr>
                <w:rFonts w:ascii="Arial Narrow" w:hAnsi="Arial Narrow" w:cs="ArialMT"/>
                <w:color w:val="333399"/>
              </w:rPr>
              <w:t>Once the sample Spider Map is completed, the teacher will discuss with the students that the circled topic will become the topic sentence of their paragraph. This sentence tells what all the other sentences in the paragraph are about, and it needs to be general, but not too general. (</w:t>
            </w:r>
            <w:r w:rsidR="00DF261B" w:rsidRPr="00DF261B">
              <w:rPr>
                <w:rFonts w:ascii="Arial Narrow" w:hAnsi="Arial Narrow" w:cs="ArialMT"/>
                <w:color w:val="333399"/>
              </w:rPr>
              <w:t>Remind</w:t>
            </w:r>
            <w:r w:rsidRPr="00DF261B">
              <w:rPr>
                <w:rFonts w:ascii="Arial Narrow" w:hAnsi="Arial Narrow" w:cs="ArialMT"/>
                <w:color w:val="333399"/>
              </w:rPr>
              <w:t xml:space="preserve"> students</w:t>
            </w:r>
            <w:r w:rsidR="00DF261B" w:rsidRPr="00DF261B">
              <w:rPr>
                <w:rFonts w:ascii="Arial Narrow" w:hAnsi="Arial Narrow" w:cs="ArialMT"/>
                <w:color w:val="333399"/>
              </w:rPr>
              <w:t xml:space="preserve"> of</w:t>
            </w:r>
            <w:r w:rsidRPr="00DF261B">
              <w:rPr>
                <w:rFonts w:ascii="Arial Narrow" w:hAnsi="Arial Narrow" w:cs="ArialMT"/>
                <w:color w:val="333399"/>
              </w:rPr>
              <w:t xml:space="preserve"> the previous lesson on how to write effective topic sentences from </w:t>
            </w:r>
            <w:r w:rsidRPr="00DF261B">
              <w:rPr>
                <w:rFonts w:ascii="Arial Narrow" w:hAnsi="Arial Narrow" w:cs="ArialMT"/>
                <w:i/>
                <w:color w:val="333399"/>
              </w:rPr>
              <w:t>Basic Composition.</w:t>
            </w:r>
            <w:r w:rsidRPr="00DF261B">
              <w:rPr>
                <w:rFonts w:ascii="Arial Narrow" w:hAnsi="Arial Narrow" w:cs="ArialMT"/>
                <w:color w:val="333399"/>
              </w:rPr>
              <w:t>)</w:t>
            </w:r>
          </w:p>
          <w:p w:rsidR="00D65DD7" w:rsidRPr="00D65DD7" w:rsidRDefault="00D65DD7" w:rsidP="00A22D5D">
            <w:pPr>
              <w:widowControl w:val="0"/>
              <w:autoSpaceDE w:val="0"/>
              <w:autoSpaceDN w:val="0"/>
              <w:adjustRightInd w:val="0"/>
              <w:rPr>
                <w:rFonts w:ascii="ArialMT" w:hAnsi="ArialMT" w:cs="ArialMT"/>
                <w:color w:val="333399"/>
                <w:sz w:val="20"/>
                <w:szCs w:val="20"/>
              </w:rPr>
            </w:pPr>
          </w:p>
        </w:tc>
      </w:tr>
      <w:tr w:rsidR="005C50C7" w:rsidRPr="00B6478B" w:rsidTr="00A22D5D">
        <w:tc>
          <w:tcPr>
            <w:tcW w:w="3708" w:type="dxa"/>
          </w:tcPr>
          <w:p w:rsidR="005C50C7" w:rsidRPr="00B6478B" w:rsidRDefault="005C50C7" w:rsidP="00A22D5D">
            <w:pPr>
              <w:rPr>
                <w:rFonts w:ascii="Arial Narrow" w:hAnsi="Arial Narrow"/>
                <w:b/>
                <w:color w:val="333399"/>
              </w:rPr>
            </w:pPr>
            <w:r w:rsidRPr="00B6478B">
              <w:rPr>
                <w:rFonts w:ascii="Arial Narrow" w:hAnsi="Arial Narrow"/>
                <w:b/>
                <w:color w:val="333399"/>
              </w:rPr>
              <w:t>Guided Reading</w:t>
            </w:r>
          </w:p>
        </w:tc>
        <w:tc>
          <w:tcPr>
            <w:tcW w:w="6588" w:type="dxa"/>
          </w:tcPr>
          <w:p w:rsidR="005C50C7" w:rsidRPr="00B6478B" w:rsidRDefault="005C50C7" w:rsidP="00A22D5D">
            <w:pPr>
              <w:rPr>
                <w:rFonts w:ascii="Arial Narrow" w:hAnsi="Arial Narrow"/>
                <w:color w:val="333399"/>
              </w:rPr>
            </w:pPr>
          </w:p>
        </w:tc>
      </w:tr>
      <w:tr w:rsidR="005C50C7" w:rsidRPr="00B6478B" w:rsidTr="00A22D5D">
        <w:tc>
          <w:tcPr>
            <w:tcW w:w="3708" w:type="dxa"/>
          </w:tcPr>
          <w:p w:rsidR="005C50C7" w:rsidRPr="00B6478B" w:rsidRDefault="005C50C7" w:rsidP="00A22D5D">
            <w:pPr>
              <w:rPr>
                <w:rFonts w:ascii="Arial Narrow" w:hAnsi="Arial Narrow"/>
                <w:b/>
                <w:color w:val="333399"/>
              </w:rPr>
            </w:pPr>
            <w:r w:rsidRPr="00B6478B">
              <w:rPr>
                <w:rFonts w:ascii="Arial Narrow" w:hAnsi="Arial Narrow"/>
                <w:b/>
                <w:color w:val="333399"/>
              </w:rPr>
              <w:t>Guided Writing</w:t>
            </w:r>
          </w:p>
        </w:tc>
        <w:tc>
          <w:tcPr>
            <w:tcW w:w="6588" w:type="dxa"/>
          </w:tcPr>
          <w:p w:rsidR="005C50C7" w:rsidRPr="00B6478B" w:rsidRDefault="00D65DD7" w:rsidP="00DF261B">
            <w:pPr>
              <w:rPr>
                <w:rFonts w:ascii="Arial Narrow" w:hAnsi="Arial Narrow"/>
                <w:color w:val="333399"/>
              </w:rPr>
            </w:pPr>
            <w:r>
              <w:rPr>
                <w:rFonts w:ascii="Arial Narrow" w:hAnsi="Arial Narrow"/>
                <w:color w:val="333399"/>
              </w:rPr>
              <w:t xml:space="preserve">The teacher will then suggest some other topics (school uniforms, getting a driver’s license, the flu, hobbies, sleep, etc.) and will have students stretch these into topic sentences.  After generating effective topic sentences, the teacher will choose two or three topics in order to complete a Spider Map with the whole group.  Students will tell the teacher </w:t>
            </w:r>
            <w:r w:rsidR="00DF261B">
              <w:rPr>
                <w:rFonts w:ascii="Arial Narrow" w:hAnsi="Arial Narrow"/>
                <w:color w:val="333399"/>
              </w:rPr>
              <w:t>how</w:t>
            </w:r>
            <w:r>
              <w:rPr>
                <w:rFonts w:ascii="Arial Narrow" w:hAnsi="Arial Narrow"/>
                <w:color w:val="333399"/>
              </w:rPr>
              <w:t xml:space="preserve"> to fill in the map.  The teacher will then affirm or correct any misinformation.</w:t>
            </w:r>
            <w:r w:rsidR="00DF261B">
              <w:rPr>
                <w:rFonts w:ascii="Arial Narrow" w:hAnsi="Arial Narrow"/>
                <w:color w:val="333399"/>
              </w:rPr>
              <w:t xml:space="preserve"> </w:t>
            </w:r>
          </w:p>
        </w:tc>
      </w:tr>
      <w:tr w:rsidR="005C50C7" w:rsidRPr="00B6478B" w:rsidTr="00A22D5D">
        <w:tc>
          <w:tcPr>
            <w:tcW w:w="3708" w:type="dxa"/>
          </w:tcPr>
          <w:p w:rsidR="005C50C7" w:rsidRPr="00B6478B" w:rsidRDefault="005C50C7" w:rsidP="00A22D5D">
            <w:pPr>
              <w:rPr>
                <w:rFonts w:ascii="Arial Narrow" w:hAnsi="Arial Narrow"/>
                <w:b/>
                <w:color w:val="333399"/>
              </w:rPr>
            </w:pPr>
            <w:r w:rsidRPr="00B6478B">
              <w:rPr>
                <w:rFonts w:ascii="Arial Narrow" w:hAnsi="Arial Narrow"/>
                <w:b/>
                <w:color w:val="333399"/>
              </w:rPr>
              <w:t>Independent Practice</w:t>
            </w:r>
          </w:p>
        </w:tc>
        <w:tc>
          <w:tcPr>
            <w:tcW w:w="6588" w:type="dxa"/>
          </w:tcPr>
          <w:p w:rsidR="005C50C7" w:rsidRPr="00B6478B" w:rsidRDefault="00DF261B" w:rsidP="00A22D5D">
            <w:pPr>
              <w:rPr>
                <w:rFonts w:ascii="Arial Narrow" w:hAnsi="Arial Narrow"/>
                <w:color w:val="333399"/>
              </w:rPr>
            </w:pPr>
            <w:r>
              <w:rPr>
                <w:rFonts w:ascii="Arial Narrow" w:hAnsi="Arial Narrow"/>
                <w:color w:val="333399"/>
              </w:rPr>
              <w:t>Students will complete Handout 20 using their own topic.</w:t>
            </w:r>
          </w:p>
        </w:tc>
      </w:tr>
      <w:tr w:rsidR="005C50C7" w:rsidRPr="00B6478B" w:rsidTr="00A22D5D">
        <w:tc>
          <w:tcPr>
            <w:tcW w:w="3708" w:type="dxa"/>
          </w:tcPr>
          <w:p w:rsidR="005C50C7" w:rsidRPr="00B6478B" w:rsidRDefault="005C50C7" w:rsidP="00A22D5D">
            <w:pPr>
              <w:rPr>
                <w:rFonts w:ascii="Arial Narrow" w:hAnsi="Arial Narrow"/>
                <w:b/>
                <w:color w:val="333399"/>
              </w:rPr>
            </w:pPr>
            <w:r w:rsidRPr="00B6478B">
              <w:rPr>
                <w:rFonts w:ascii="Arial Narrow" w:hAnsi="Arial Narrow"/>
                <w:b/>
                <w:color w:val="333399"/>
              </w:rPr>
              <w:t>Closure/Homework</w:t>
            </w:r>
          </w:p>
        </w:tc>
        <w:tc>
          <w:tcPr>
            <w:tcW w:w="6588" w:type="dxa"/>
          </w:tcPr>
          <w:p w:rsidR="00DF261B" w:rsidRPr="00B6478B" w:rsidRDefault="00DF261B" w:rsidP="00A22D5D">
            <w:pPr>
              <w:rPr>
                <w:rFonts w:ascii="Arial Narrow" w:hAnsi="Arial Narrow"/>
                <w:color w:val="333399"/>
              </w:rPr>
            </w:pPr>
            <w:r>
              <w:rPr>
                <w:rFonts w:ascii="Arial Narrow" w:hAnsi="Arial Narrow"/>
                <w:color w:val="333399"/>
              </w:rPr>
              <w:t>Volunteers will share their completed maps as the class discusses what works and what doesn’t. The maps will be assessed using the following three questions: (a) Is the topic sentence not too broad and not too narrow? (b) Is there enough support? (c) Do all the ideas support the topic sentence?</w:t>
            </w:r>
          </w:p>
        </w:tc>
      </w:tr>
      <w:tr w:rsidR="005C50C7" w:rsidRPr="00B6478B" w:rsidTr="00A22D5D">
        <w:tc>
          <w:tcPr>
            <w:tcW w:w="3708" w:type="dxa"/>
          </w:tcPr>
          <w:p w:rsidR="005C50C7" w:rsidRPr="00B6478B" w:rsidRDefault="005C50C7" w:rsidP="00A22D5D">
            <w:pPr>
              <w:rPr>
                <w:rFonts w:ascii="Arial Narrow" w:hAnsi="Arial Narrow"/>
                <w:b/>
                <w:color w:val="333399"/>
              </w:rPr>
            </w:pPr>
            <w:r w:rsidRPr="00B6478B">
              <w:rPr>
                <w:rFonts w:ascii="Arial Narrow" w:hAnsi="Arial Narrow"/>
                <w:b/>
                <w:color w:val="333399"/>
              </w:rPr>
              <w:t>Differentiated Instruction</w:t>
            </w:r>
          </w:p>
        </w:tc>
        <w:tc>
          <w:tcPr>
            <w:tcW w:w="6588" w:type="dxa"/>
          </w:tcPr>
          <w:p w:rsidR="005C50C7" w:rsidRPr="00B6478B" w:rsidRDefault="00DF261B" w:rsidP="00A22D5D">
            <w:pPr>
              <w:rPr>
                <w:rFonts w:ascii="Arial Narrow" w:hAnsi="Arial Narrow"/>
                <w:color w:val="333399"/>
              </w:rPr>
            </w:pPr>
            <w:r>
              <w:rPr>
                <w:rFonts w:ascii="Arial Narrow" w:hAnsi="Arial Narrow"/>
                <w:color w:val="333399"/>
              </w:rPr>
              <w:t>After completing the thumb check, the teacher will call those who are still struggling up to the front table to work in small group. Students may also work in pairs or groups after completing the independent work to revise their maps based on the three assessment questions.</w:t>
            </w:r>
          </w:p>
        </w:tc>
      </w:tr>
      <w:tr w:rsidR="005C50C7" w:rsidRPr="00B6478B" w:rsidTr="00A22D5D">
        <w:tc>
          <w:tcPr>
            <w:tcW w:w="3708" w:type="dxa"/>
          </w:tcPr>
          <w:p w:rsidR="005C50C7" w:rsidRPr="00B6478B" w:rsidRDefault="005C50C7" w:rsidP="00A22D5D">
            <w:pPr>
              <w:rPr>
                <w:rFonts w:ascii="Arial Narrow" w:hAnsi="Arial Narrow"/>
                <w:b/>
                <w:color w:val="333399"/>
              </w:rPr>
            </w:pPr>
            <w:r>
              <w:rPr>
                <w:rFonts w:ascii="Arial Narrow" w:hAnsi="Arial Narrow"/>
                <w:b/>
                <w:color w:val="333399"/>
              </w:rPr>
              <w:t>Formative Assessment</w:t>
            </w:r>
          </w:p>
        </w:tc>
        <w:tc>
          <w:tcPr>
            <w:tcW w:w="6588" w:type="dxa"/>
          </w:tcPr>
          <w:p w:rsidR="005C50C7" w:rsidRPr="009A0ABA" w:rsidRDefault="00DF261B" w:rsidP="00A22D5D">
            <w:pPr>
              <w:rPr>
                <w:rFonts w:ascii="Arial Narrow" w:hAnsi="Arial Narrow"/>
                <w:color w:val="333399"/>
              </w:rPr>
            </w:pPr>
            <w:r>
              <w:rPr>
                <w:rFonts w:ascii="Arial Narrow" w:hAnsi="Arial Narrow"/>
                <w:color w:val="333399"/>
              </w:rPr>
              <w:t>Entrance slip; Thumb Check</w:t>
            </w:r>
          </w:p>
        </w:tc>
      </w:tr>
      <w:tr w:rsidR="005C50C7" w:rsidRPr="00B6478B" w:rsidTr="00A22D5D">
        <w:tc>
          <w:tcPr>
            <w:tcW w:w="3708" w:type="dxa"/>
          </w:tcPr>
          <w:p w:rsidR="005C50C7" w:rsidRPr="00B6478B" w:rsidRDefault="005C50C7" w:rsidP="00A22D5D">
            <w:pPr>
              <w:rPr>
                <w:rFonts w:ascii="Arial Narrow" w:hAnsi="Arial Narrow"/>
                <w:b/>
                <w:color w:val="333399"/>
              </w:rPr>
            </w:pPr>
            <w:r>
              <w:rPr>
                <w:rFonts w:ascii="Arial Narrow" w:hAnsi="Arial Narrow"/>
                <w:b/>
                <w:color w:val="333399"/>
              </w:rPr>
              <w:t>Summative Assessment</w:t>
            </w:r>
          </w:p>
        </w:tc>
        <w:tc>
          <w:tcPr>
            <w:tcW w:w="6588" w:type="dxa"/>
          </w:tcPr>
          <w:p w:rsidR="005C50C7" w:rsidRPr="009A0ABA" w:rsidRDefault="005C50C7" w:rsidP="00A22D5D">
            <w:pPr>
              <w:rPr>
                <w:rFonts w:ascii="Arial Narrow" w:hAnsi="Arial Narrow"/>
                <w:color w:val="333399"/>
              </w:rPr>
            </w:pPr>
          </w:p>
        </w:tc>
      </w:tr>
    </w:tbl>
    <w:p w:rsidR="004C2C6E" w:rsidRDefault="004C2C6E"/>
    <w:sectPr w:rsidR="004C2C6E" w:rsidSect="005C50C7">
      <w:pgSz w:w="12240" w:h="15840"/>
      <w:pgMar w:top="720" w:right="72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altName w:val="Times New Roman"/>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MT">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C50C7"/>
    <w:rsid w:val="000C423D"/>
    <w:rsid w:val="004C2C6E"/>
    <w:rsid w:val="005C50C7"/>
    <w:rsid w:val="00D65DD7"/>
    <w:rsid w:val="00DE65F0"/>
    <w:rsid w:val="00DF261B"/>
    <w:rsid w:val="00E840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0C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C423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430</Words>
  <Characters>2457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ECPS-User</dc:creator>
  <cp:keywords/>
  <dc:description/>
  <cp:lastModifiedBy>ECPS-User</cp:lastModifiedBy>
  <cp:revision>1</cp:revision>
  <dcterms:created xsi:type="dcterms:W3CDTF">2011-08-18T17:17:00Z</dcterms:created>
  <dcterms:modified xsi:type="dcterms:W3CDTF">2011-08-18T18:26:00Z</dcterms:modified>
</cp:coreProperties>
</file>